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34" w:rsidRPr="00044834" w:rsidRDefault="00044834" w:rsidP="00044834">
      <w:pPr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24"/>
          <w:szCs w:val="20"/>
        </w:rPr>
      </w:pPr>
      <w:r w:rsidRPr="00044834"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>附件</w:t>
      </w:r>
      <w:r w:rsidRPr="00044834">
        <w:rPr>
          <w:rFonts w:ascii="Times New Roman" w:eastAsia="仿宋_GB2312" w:hAnsi="Times New Roman" w:cs="Times New Roman" w:hint="eastAsia"/>
          <w:color w:val="000000"/>
          <w:sz w:val="24"/>
          <w:szCs w:val="20"/>
        </w:rPr>
        <w:t xml:space="preserve">2 </w:t>
      </w:r>
    </w:p>
    <w:p w:rsidR="00044834" w:rsidRPr="00044834" w:rsidRDefault="00044834" w:rsidP="00044834">
      <w:pPr>
        <w:spacing w:line="360" w:lineRule="auto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044834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博士学位论文预答辩流程</w:t>
      </w:r>
    </w:p>
    <w:p w:rsidR="00044834" w:rsidRPr="00044834" w:rsidRDefault="00044834" w:rsidP="00044834">
      <w:pPr>
        <w:spacing w:line="360" w:lineRule="auto"/>
        <w:jc w:val="center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044834">
        <w:rPr>
          <w:rFonts w:ascii="仿宋_GB2312" w:eastAsia="仿宋_GB2312" w:hAnsi="宋体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AA54BF" wp14:editId="22822C36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4733925" cy="6408420"/>
                <wp:effectExtent l="0" t="0" r="28575" b="11430"/>
                <wp:wrapNone/>
                <wp:docPr id="67" name="组合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6408420"/>
                          <a:chOff x="930" y="2151"/>
                          <a:chExt cx="7455" cy="10092"/>
                        </a:xfrm>
                      </wpg:grpSpPr>
                      <wps:wsp>
                        <wps:cNvPr id="68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7962"/>
                            <a:ext cx="7455" cy="1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ind w:leftChars="151" w:left="317" w:firstLineChars="847" w:firstLine="1531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公开（涉密论文除外）举行预答辩会</w:t>
                              </w:r>
                            </w:p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1、博士生介绍论文内容并重点论证论文的创新性、关键性结论；</w:t>
                              </w:r>
                            </w:p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2、导师对博士生的研究情况作全面介绍；</w:t>
                              </w:r>
                            </w:p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ind w:left="270" w:hangingChars="150" w:hanging="270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3、预答辩小组成员对学位论文初稿进行质疑，对论文的创新性、学术水平、工作量、论文的理论研究和实验研究的立论依据、研究成果、关键性结论等做出评价并得出结论报告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3594"/>
                            <a:ext cx="7455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ind w:leftChars="150" w:left="315" w:firstLineChars="1200" w:firstLine="2168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学科安排预答辩</w:t>
                              </w:r>
                            </w:p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为使博士生在预答辩后留有足够时间修改论文，预答辩一般安排在论文中期检查合格之后、正式答辩之前3个月内进行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4605" y="4686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998"/>
                            <a:ext cx="7455" cy="1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ind w:leftChars="151" w:left="317" w:firstLineChars="1253" w:firstLine="2264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组织预答辩小组</w:t>
                              </w:r>
                            </w:p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学科聘请5名助理教授以上同行专家（副教授级专家需有博士学位）组成预答辩小组，设1名预答辩负责人。聘请一位答辩秘书负责博士生预答辩至答辩的相关事务。博士生本人的导师应参加预答辩，但不作为预答辩小组成员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605" y="7665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2151"/>
                            <a:ext cx="7455" cy="9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pStyle w:val="a3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修完培养计划的全部课程，成绩合格，达到规定的总学分</w:t>
                              </w:r>
                            </w:p>
                            <w:p w:rsidR="00044834" w:rsidRPr="00034D8E" w:rsidRDefault="00044834" w:rsidP="0004483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jc w:val="center"/>
                                <w:rPr>
                                  <w:rFonts w:ascii="仿宋" w:eastAsia="仿宋" w:hAnsi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color w:val="000000"/>
                                  <w:sz w:val="18"/>
                                  <w:szCs w:val="18"/>
                                </w:rPr>
                                <w:t>通过学位论文开题及中期检查</w:t>
                              </w:r>
                            </w:p>
                            <w:p w:rsidR="00044834" w:rsidRPr="00034D8E" w:rsidRDefault="00044834" w:rsidP="00044834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80" w:lineRule="exact"/>
                                <w:ind w:firstLineChars="0"/>
                                <w:jc w:val="both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完成学位论文初稿并通过导师审阅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4605" y="3105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605" y="638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6666"/>
                            <a:ext cx="7455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ind w:leftChars="151" w:left="317" w:firstLineChars="1253" w:firstLine="2264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提交预答辩材料</w:t>
                              </w:r>
                            </w:p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预答辩前十天，提交学位论文初稿、开题报告、专家的开题论证意见、学位论文中期总结报告、学位论文中期检查评价和建议等材料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11229"/>
                            <a:ext cx="1860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修改论文后将修改报告与学位论文一并提交评审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4605" y="9834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11229"/>
                            <a:ext cx="1215" cy="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提交学位论文评审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11238"/>
                            <a:ext cx="1935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widowControl/>
                                <w:spacing w:line="280" w:lineRule="exact"/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全面修改论文，经导师审核后重新进行预答辩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875" y="9834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545" y="9834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10302"/>
                            <a:ext cx="1050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spacing w:line="32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35" y="10302"/>
                            <a:ext cx="1680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spacing w:line="32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基本合格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10302"/>
                            <a:ext cx="1140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834" w:rsidRPr="00034D8E" w:rsidRDefault="00044834" w:rsidP="00044834">
                              <w:pPr>
                                <w:spacing w:line="32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4D8E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875" y="10860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605" y="10860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7545" y="10860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A54BF" id="组合 67" o:spid="_x0000_s1026" style="position:absolute;left:0;text-align:left;margin-left:0;margin-top:13.05pt;width:372.75pt;height:504.6pt;z-index:251659264;mso-position-horizontal:center;mso-position-horizontal-relative:margin" coordorigin="930,2151" coordsize="7455,1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1" o:spid="_x0000_s1027" type="#_x0000_t202" style="position:absolute;left:930;top:7962;width:7455;height:1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<v:textbox>
                    <w:txbxContent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ind w:leftChars="151" w:left="317" w:firstLineChars="847" w:firstLine="1531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公开（涉密论文除外）举行预答辩会</w:t>
                        </w:r>
                      </w:p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1、博士生介绍论文内容并重点论证论文的创新性、关键性结论；</w:t>
                        </w:r>
                      </w:p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2、导师对博士生的研究情况作全面介绍；</w:t>
                        </w:r>
                      </w:p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ind w:left="270" w:hangingChars="150" w:hanging="270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3、预答辩小组成员对学位论文初稿进行质疑，对论文的创新性、学术水平、工作量、论文的理论研究和实验研究的立论依据、研究成果、关键性结论等做出评价并得出结论报告</w:t>
                        </w:r>
                      </w:p>
                    </w:txbxContent>
                  </v:textbox>
                </v:shape>
                <v:shape id="Text Box 282" o:spid="_x0000_s1028" type="#_x0000_t202" style="position:absolute;left:930;top:3594;width:7455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ind w:leftChars="150" w:left="315" w:firstLineChars="1200" w:firstLine="2168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学科安排预答辩</w:t>
                        </w:r>
                      </w:p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为使博士生在预答辩后留有足够时间修改论文，预答辩一般安排在论文中期检查合格之后、正式答辩之前3个月内进行</w:t>
                        </w:r>
                      </w:p>
                    </w:txbxContent>
                  </v:textbox>
                </v:shape>
                <v:line id="Line 283" o:spid="_x0000_s1029" style="position:absolute;visibility:visible;mso-wrap-style:square" from="4605,4686" to="4605,4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shape id="Text Box 284" o:spid="_x0000_s1030" type="#_x0000_t202" style="position:absolute;left:930;top:4998;width:7455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ind w:leftChars="151" w:left="317" w:firstLineChars="1253" w:firstLine="2264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组织预答辩小组</w:t>
                        </w:r>
                      </w:p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学科聘请5名助理教授以上同行专家（副教授级专家需有博士学位）组成预答辩小组，设1名预答辩负责人。聘请一位答辩秘书负责博士生预答辩至答辩的相关事务。博士生本人的导师应参加预答辩，但不作为预答辩小组成员。</w:t>
                        </w:r>
                      </w:p>
                    </w:txbxContent>
                  </v:textbox>
                </v:shape>
                <v:line id="Line 285" o:spid="_x0000_s1031" style="position:absolute;visibility:visible;mso-wrap-style:square" from="4605,7665" to="4605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shape id="Text Box 286" o:spid="_x0000_s1032" type="#_x0000_t202" style="position:absolute;left:930;top:2151;width:7455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044834" w:rsidRPr="00034D8E" w:rsidRDefault="00044834" w:rsidP="00044834">
                        <w:pPr>
                          <w:pStyle w:val="a3"/>
                          <w:widowControl/>
                          <w:numPr>
                            <w:ilvl w:val="0"/>
                            <w:numId w:val="1"/>
                          </w:numPr>
                          <w:spacing w:line="280" w:lineRule="exact"/>
                          <w:ind w:firstLineChars="0"/>
                          <w:jc w:val="both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修完培养计划的全部课程，成绩合格，达到规定的总学分</w:t>
                        </w:r>
                      </w:p>
                      <w:p w:rsidR="00044834" w:rsidRPr="00034D8E" w:rsidRDefault="00044834" w:rsidP="0004483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80" w:lineRule="exact"/>
                          <w:ind w:firstLineChars="0"/>
                          <w:jc w:val="center"/>
                          <w:rPr>
                            <w:rFonts w:ascii="仿宋" w:eastAsia="仿宋" w:hAnsi="仿宋"/>
                            <w:color w:val="000000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color w:val="000000"/>
                            <w:sz w:val="18"/>
                            <w:szCs w:val="18"/>
                          </w:rPr>
                          <w:t>通过学位论文开题及中期检查</w:t>
                        </w:r>
                      </w:p>
                      <w:p w:rsidR="00044834" w:rsidRPr="00034D8E" w:rsidRDefault="00044834" w:rsidP="0004483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80" w:lineRule="exact"/>
                          <w:ind w:firstLineChars="0"/>
                          <w:jc w:val="both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完成学位论文初稿并通过导师审阅</w:t>
                        </w:r>
                      </w:p>
                    </w:txbxContent>
                  </v:textbox>
                </v:shape>
                <v:line id="Line 287" o:spid="_x0000_s1033" style="position:absolute;visibility:visible;mso-wrap-style:square" from="4605,3105" to="4605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288" o:spid="_x0000_s1034" style="position:absolute;visibility:visible;mso-wrap-style:square" from="4605,6384" to="4605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shape id="Text Box 289" o:spid="_x0000_s1035" type="#_x0000_t202" style="position:absolute;left:930;top:6666;width:7455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ind w:leftChars="151" w:left="317" w:firstLineChars="1253" w:firstLine="2264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提交预答辩材料</w:t>
                        </w:r>
                      </w:p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预答辩前十天，提交学位论文初稿、开题报告、专家的开题论证意见、学位论文中期总结报告、学位论文中期检查评价和建议等材料</w:t>
                        </w:r>
                      </w:p>
                    </w:txbxContent>
                  </v:textbox>
                </v:shape>
                <v:shape id="Text Box 290" o:spid="_x0000_s1036" type="#_x0000_t202" style="position:absolute;left:930;top:11229;width:1860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修改论文后将修改报告与学位论文一并提交评审</w:t>
                        </w:r>
                      </w:p>
                    </w:txbxContent>
                  </v:textbox>
                </v:shape>
                <v:line id="Line 291" o:spid="_x0000_s1037" style="position:absolute;visibility:visible;mso-wrap-style:square" from="4605,9834" to="4605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shape id="Text Box 292" o:spid="_x0000_s1038" type="#_x0000_t202" style="position:absolute;left:3990;top:11229;width:121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提交学位论文评审</w:t>
                        </w:r>
                      </w:p>
                    </w:txbxContent>
                  </v:textbox>
                </v:shape>
                <v:shape id="Text Box 293" o:spid="_x0000_s1039" type="#_x0000_t202" style="position:absolute;left:6450;top:11238;width:193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044834" w:rsidRPr="00034D8E" w:rsidRDefault="00044834" w:rsidP="00044834">
                        <w:pPr>
                          <w:widowControl/>
                          <w:spacing w:line="280" w:lineRule="exact"/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全面修改论文，经导师审核后重新进行预答辩</w:t>
                        </w:r>
                      </w:p>
                    </w:txbxContent>
                  </v:textbox>
                </v:shape>
                <v:line id="Line 294" o:spid="_x0000_s1040" style="position:absolute;visibility:visible;mso-wrap-style:square" from="1875,9834" to="1875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<v:stroke endarrow="block"/>
                </v:line>
                <v:line id="Line 295" o:spid="_x0000_s1041" style="position:absolute;visibility:visible;mso-wrap-style:square" from="7545,9834" to="7545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shape id="Text Box 296" o:spid="_x0000_s1042" type="#_x0000_t202" style="position:absolute;left:4080;top:10302;width:105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044834" w:rsidRPr="00034D8E" w:rsidRDefault="00044834" w:rsidP="00044834">
                        <w:pPr>
                          <w:spacing w:line="32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合格</w:t>
                        </w:r>
                      </w:p>
                    </w:txbxContent>
                  </v:textbox>
                </v:shape>
                <v:shape id="Text Box 297" o:spid="_x0000_s1043" type="#_x0000_t202" style="position:absolute;left:1035;top:10302;width:168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044834" w:rsidRPr="00034D8E" w:rsidRDefault="00044834" w:rsidP="00044834">
                        <w:pPr>
                          <w:spacing w:line="32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基本合格</w:t>
                        </w:r>
                      </w:p>
                    </w:txbxContent>
                  </v:textbox>
                </v:shape>
                <v:shape id="Text Box 298" o:spid="_x0000_s1044" type="#_x0000_t202" style="position:absolute;left:7020;top:10302;width:1140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044834" w:rsidRPr="00034D8E" w:rsidRDefault="00044834" w:rsidP="00044834">
                        <w:pPr>
                          <w:spacing w:line="32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034D8E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shape>
                <v:line id="Line 299" o:spid="_x0000_s1045" style="position:absolute;visibility:visible;mso-wrap-style:square" from="1875,10860" to="1875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300" o:spid="_x0000_s1046" style="position:absolute;visibility:visible;mso-wrap-style:square" from="4605,10860" to="4605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<v:stroke endarrow="block"/>
                </v:line>
                <v:line id="Line 301" o:spid="_x0000_s1047" style="position:absolute;visibility:visible;mso-wrap-style:square" from="7545,10860" to="7545,1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w10:wrap anchorx="margin"/>
              </v:group>
            </w:pict>
          </mc:Fallback>
        </mc:AlternateContent>
      </w:r>
    </w:p>
    <w:p w:rsidR="005222E3" w:rsidRDefault="005222E3" w:rsidP="00044834">
      <w:bookmarkStart w:id="0" w:name="_GoBack"/>
      <w:bookmarkEnd w:id="0"/>
    </w:p>
    <w:sectPr w:rsidR="0052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BA5"/>
    <w:multiLevelType w:val="hybridMultilevel"/>
    <w:tmpl w:val="082E4438"/>
    <w:lvl w:ilvl="0" w:tplc="A53C8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34"/>
    <w:rsid w:val="00044834"/>
    <w:rsid w:val="0052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837C3-B1C7-4086-A6BD-9293C07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044834"/>
    <w:pPr>
      <w:spacing w:line="360" w:lineRule="auto"/>
      <w:ind w:firstLineChars="200" w:firstLine="420"/>
      <w:jc w:val="left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2017-09-07T08:54:00Z</dcterms:created>
  <dcterms:modified xsi:type="dcterms:W3CDTF">2017-09-07T08:55:00Z</dcterms:modified>
</cp:coreProperties>
</file>