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7920" w:type="dxa"/>
        <w:jc w:val="center"/>
        <w:tblLook w:val="04A0" w:firstRow="1" w:lastRow="0" w:firstColumn="1" w:lastColumn="0" w:noHBand="0" w:noVBand="1"/>
      </w:tblPr>
      <w:tblGrid>
        <w:gridCol w:w="1364"/>
        <w:gridCol w:w="850"/>
        <w:gridCol w:w="2693"/>
        <w:gridCol w:w="999"/>
        <w:gridCol w:w="1128"/>
        <w:gridCol w:w="886"/>
      </w:tblGrid>
      <w:tr w:rsidR="00B14393" w:rsidRPr="000C7573" w:rsidTr="0055044F">
        <w:trPr>
          <w:cnfStyle w:val="100000000000" w:firstRow="1" w:lastRow="0" w:firstColumn="0" w:lastColumn="0" w:oddVBand="0" w:evenVBand="0" w:oddHBand="0" w:evenHBand="0" w:firstRowFirstColumn="0" w:firstRowLastColumn="0" w:lastRowFirstColumn="0" w:lastRowLastColumn="0"/>
          <w:trHeight w:hRule="exact" w:val="588"/>
          <w:jc w:val="center"/>
        </w:trPr>
        <w:tc>
          <w:tcPr>
            <w:cnfStyle w:val="001000000000" w:firstRow="0" w:lastRow="0" w:firstColumn="1" w:lastColumn="0" w:oddVBand="0" w:evenVBand="0" w:oddHBand="0" w:evenHBand="0" w:firstRowFirstColumn="0" w:firstRowLastColumn="0" w:lastRowFirstColumn="0" w:lastRowLastColumn="0"/>
            <w:tcW w:w="7920" w:type="dxa"/>
            <w:gridSpan w:val="6"/>
            <w:tcBorders>
              <w:left w:val="single" w:sz="4" w:space="0" w:color="FFFFFF" w:themeColor="background1"/>
              <w:right w:val="single" w:sz="4" w:space="0" w:color="FFFFFF" w:themeColor="background1"/>
            </w:tcBorders>
            <w:shd w:val="clear" w:color="auto" w:fill="B6DDE8" w:themeFill="accent5" w:themeFillTint="66"/>
            <w:noWrap/>
            <w:vAlign w:val="center"/>
            <w:hideMark/>
          </w:tcPr>
          <w:p w:rsidR="00B14393" w:rsidRPr="000C7573" w:rsidRDefault="00B14393" w:rsidP="0055044F">
            <w:pPr>
              <w:widowControl/>
              <w:jc w:val="center"/>
              <w:rPr>
                <w:rFonts w:asciiTheme="minorEastAsia" w:eastAsiaTheme="minorEastAsia" w:hAnsiTheme="minorEastAsia"/>
                <w:sz w:val="24"/>
                <w:szCs w:val="24"/>
              </w:rPr>
            </w:pPr>
            <w:r w:rsidRPr="000C7573">
              <w:rPr>
                <w:rFonts w:asciiTheme="minorEastAsia" w:eastAsiaTheme="minorEastAsia" w:hAnsiTheme="minorEastAsia"/>
                <w:sz w:val="24"/>
                <w:szCs w:val="24"/>
              </w:rPr>
              <w:t>附表</w:t>
            </w:r>
            <w:r>
              <w:rPr>
                <w:rFonts w:asciiTheme="minorEastAsia" w:eastAsiaTheme="minorEastAsia" w:hAnsiTheme="minorEastAsia" w:hint="eastAsia"/>
                <w:sz w:val="24"/>
                <w:szCs w:val="24"/>
              </w:rPr>
              <w:t>：</w:t>
            </w:r>
            <w:r w:rsidRPr="000C7573">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我校</w:t>
            </w:r>
            <w:r w:rsidRPr="000C7573">
              <w:rPr>
                <w:rFonts w:asciiTheme="minorEastAsia" w:eastAsiaTheme="minorEastAsia" w:hAnsiTheme="minorEastAsia"/>
                <w:sz w:val="24"/>
                <w:szCs w:val="24"/>
              </w:rPr>
              <w:t>2016年国家社科基金项目立项名单</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院系</w:t>
            </w: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bCs/>
              </w:rPr>
            </w:pPr>
            <w:r w:rsidRPr="000C7573">
              <w:rPr>
                <w:rFonts w:asciiTheme="minorEastAsia" w:eastAsiaTheme="minorEastAsia" w:hAnsiTheme="minorEastAsia"/>
                <w:b/>
                <w:bCs/>
              </w:rPr>
              <w:t>序号</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bCs/>
              </w:rPr>
            </w:pPr>
            <w:r w:rsidRPr="000C7573">
              <w:rPr>
                <w:rFonts w:asciiTheme="minorEastAsia" w:eastAsiaTheme="minorEastAsia" w:hAnsiTheme="minorEastAsia"/>
                <w:b/>
                <w:bCs/>
              </w:rPr>
              <w:t>项目名称</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bCs/>
              </w:rPr>
            </w:pPr>
            <w:r w:rsidRPr="000C7573">
              <w:rPr>
                <w:rFonts w:asciiTheme="minorEastAsia" w:eastAsiaTheme="minorEastAsia" w:hAnsiTheme="minorEastAsia"/>
                <w:b/>
                <w:bCs/>
              </w:rPr>
              <w:t>负责人</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bCs/>
              </w:rPr>
            </w:pPr>
            <w:r w:rsidRPr="000C7573">
              <w:rPr>
                <w:rFonts w:asciiTheme="minorEastAsia" w:eastAsiaTheme="minorEastAsia" w:hAnsiTheme="minorEastAsia"/>
                <w:b/>
                <w:bCs/>
              </w:rPr>
              <w:t>项目类别</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bCs/>
              </w:rPr>
            </w:pPr>
            <w:r w:rsidRPr="000C7573">
              <w:rPr>
                <w:rFonts w:asciiTheme="minorEastAsia" w:eastAsiaTheme="minorEastAsia" w:hAnsiTheme="minorEastAsia"/>
                <w:b/>
                <w:bCs/>
              </w:rPr>
              <w:t>所在学科</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roofErr w:type="gramStart"/>
            <w:r w:rsidRPr="000C7573">
              <w:rPr>
                <w:rFonts w:asciiTheme="minorEastAsia" w:eastAsiaTheme="minorEastAsia" w:hAnsiTheme="minorEastAsia"/>
              </w:rPr>
              <w:t>凯</w:t>
            </w:r>
            <w:proofErr w:type="gramEnd"/>
            <w:r w:rsidRPr="000C7573">
              <w:rPr>
                <w:rFonts w:asciiTheme="minorEastAsia" w:eastAsiaTheme="minorEastAsia" w:hAnsiTheme="minorEastAsia"/>
              </w:rPr>
              <w:t>原法学院</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程序性权利理论的提出与证成研究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proofErr w:type="gramStart"/>
            <w:r w:rsidRPr="000C7573">
              <w:rPr>
                <w:rFonts w:asciiTheme="minorEastAsia" w:eastAsiaTheme="minorEastAsia" w:hAnsiTheme="minorEastAsia"/>
              </w:rPr>
              <w:t>彭</w:t>
            </w:r>
            <w:proofErr w:type="gramEnd"/>
            <w:r w:rsidRPr="000C7573">
              <w:rPr>
                <w:rFonts w:asciiTheme="minorEastAsia" w:eastAsiaTheme="minorEastAsia" w:hAnsiTheme="minorEastAsia"/>
              </w:rPr>
              <w:t>诚信</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重点项目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法学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我国互联网金融市场准入与监管法制重大理论与实践问题研究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许多奇</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法学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3</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人大预决算审查监督权的实质回归研究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王桦宇（博士后）</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法学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4</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刑法渊源中的立法科学化基本问题研究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陈可倩</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法学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国际与公共事务学院</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5</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市场经济下公共服务供给中的公私部门角色关系定位研究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顾建光</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重点项目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管理学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6</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中国城市女性生育成本建构机制研究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roofErr w:type="gramStart"/>
            <w:r w:rsidRPr="000C7573">
              <w:rPr>
                <w:rFonts w:asciiTheme="minorEastAsia" w:eastAsiaTheme="minorEastAsia" w:hAnsiTheme="minorEastAsia"/>
              </w:rPr>
              <w:t>杜江勤</w:t>
            </w:r>
            <w:proofErr w:type="gramEnd"/>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人口学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7</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区域外大国对南海问题的介入及其影响研究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proofErr w:type="gramStart"/>
            <w:r w:rsidRPr="000C7573">
              <w:rPr>
                <w:rFonts w:asciiTheme="minorEastAsia" w:eastAsiaTheme="minorEastAsia" w:hAnsiTheme="minorEastAsia"/>
              </w:rPr>
              <w:t>张学昆</w:t>
            </w:r>
            <w:proofErr w:type="gramEnd"/>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国际问题研究</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继续教育学院</w:t>
            </w: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8</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基于贝叶</w:t>
            </w:r>
            <w:proofErr w:type="gramStart"/>
            <w:r w:rsidRPr="000C7573">
              <w:rPr>
                <w:rFonts w:asciiTheme="minorEastAsia" w:eastAsiaTheme="minorEastAsia" w:hAnsiTheme="minorEastAsia"/>
              </w:rPr>
              <w:t>斯方法</w:t>
            </w:r>
            <w:proofErr w:type="gramEnd"/>
            <w:r w:rsidRPr="000C7573">
              <w:rPr>
                <w:rFonts w:asciiTheme="minorEastAsia" w:eastAsiaTheme="minorEastAsia" w:hAnsiTheme="minorEastAsia"/>
              </w:rPr>
              <w:t>的社会网络大数据使用与隐私保护平衡机制研究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李凤英</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管理学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媒体与设计学院</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9</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移动传播背景下的新闻理论更新与实践对策研究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谢金文</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重点项目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新闻学与传播学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10</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大数据时代青少年诚信发展及培育机制研究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吴月华</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新闻学与传播学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11</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基于案例分析法的大数据社会治理创新模式和评估方法研究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proofErr w:type="gramStart"/>
            <w:r w:rsidRPr="000C7573">
              <w:rPr>
                <w:rFonts w:asciiTheme="minorEastAsia" w:eastAsiaTheme="minorEastAsia" w:hAnsiTheme="minorEastAsia"/>
              </w:rPr>
              <w:t>吴湛微</w:t>
            </w:r>
            <w:proofErr w:type="gramEnd"/>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管理学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left w:val="single" w:sz="4" w:space="0" w:color="FFFFFF" w:themeColor="background1"/>
            </w:tcBorders>
            <w:shd w:val="clear" w:color="auto" w:fill="FCE6D4"/>
            <w:vAlign w:val="center"/>
            <w:hideMark/>
          </w:tcPr>
          <w:p w:rsidR="00B14393" w:rsidRDefault="00B14393" w:rsidP="0055044F">
            <w:pPr>
              <w:widowControl/>
              <w:jc w:val="center"/>
              <w:rPr>
                <w:rFonts w:asciiTheme="minorEastAsia" w:eastAsiaTheme="minorEastAsia" w:hAnsiTheme="minorEastAsia" w:hint="eastAsia"/>
              </w:rPr>
            </w:pPr>
          </w:p>
          <w:p w:rsidR="00B14393" w:rsidRDefault="00B14393" w:rsidP="0055044F">
            <w:pPr>
              <w:widowControl/>
              <w:jc w:val="center"/>
              <w:rPr>
                <w:rFonts w:asciiTheme="minorEastAsia" w:eastAsiaTheme="minorEastAsia" w:hAnsiTheme="minorEastAsia" w:hint="eastAsia"/>
              </w:rPr>
            </w:pPr>
          </w:p>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人文学院</w:t>
            </w: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12</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中国当代文学与民族文化遗产问题研究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高有鹏</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中国文学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13</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基于英文学术期刊的中国现当代文学海外传播实证研究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郭恋东</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中国文学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14</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多元时代的宽容悖论问题研究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武云</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哲学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15</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德国启蒙运动时期沃尔夫主义形而上学流变研究（1720—1759）</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李鹃</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哲学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16</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南诏大理国的图像遗产与文化认同研究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安琪</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民族问题研究</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体育系</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17</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高考制度综合改革背景下学生的身心健康评价指标体系构建研究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范翔</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体育学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图书馆</w:t>
            </w: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18</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“质量效益”视阈下图书馆服务创新动力及常态化发展模式研究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郭晶</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图书馆、情报与文献学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外国语学院</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19</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雷卡纳蒂语言哲学思想研究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刘龙根</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哲学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20</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21世纪中西文论关系研究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薛原</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中国文学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21</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动态翻译学习的在线系统构建及其评估研究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田艳</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语言学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22</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基于语料库的中央政治文献英</w:t>
            </w:r>
            <w:proofErr w:type="gramStart"/>
            <w:r w:rsidRPr="000C7573">
              <w:rPr>
                <w:rFonts w:asciiTheme="minorEastAsia" w:eastAsiaTheme="minorEastAsia" w:hAnsiTheme="minorEastAsia"/>
              </w:rPr>
              <w:t>译研究</w:t>
            </w:r>
            <w:proofErr w:type="gramEnd"/>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胡开宝</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语言学</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23</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司法话语的适用语言学研究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王振华</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语言学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vMerge/>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24</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比较视野下的上海法租界医疗卫生研究（1849—1943）</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任轶</w:t>
            </w:r>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中国历史</w:t>
            </w:r>
          </w:p>
        </w:tc>
      </w:tr>
      <w:tr w:rsidR="00B14393" w:rsidRPr="000C7573" w:rsidTr="0055044F">
        <w:trPr>
          <w:cnfStyle w:val="000000010000" w:firstRow="0" w:lastRow="0" w:firstColumn="0" w:lastColumn="0" w:oddVBand="0" w:evenVBand="0" w:oddHBand="0" w:evenHBand="1" w:firstRowFirstColumn="0" w:firstRowLastColumn="0" w:lastRowFirstColumn="0" w:lastRowLastColumn="0"/>
          <w:trHeight w:hRule="exact" w:val="927"/>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人文艺术研究院</w:t>
            </w:r>
          </w:p>
        </w:tc>
        <w:tc>
          <w:tcPr>
            <w:tcW w:w="850"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25</w:t>
            </w:r>
          </w:p>
        </w:tc>
        <w:tc>
          <w:tcPr>
            <w:tcW w:w="2693"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网络公共事件中政府舆论传播的受众反向认知研究</w:t>
            </w:r>
          </w:p>
        </w:tc>
        <w:tc>
          <w:tcPr>
            <w:tcW w:w="999"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刘锐</w:t>
            </w:r>
          </w:p>
        </w:tc>
        <w:tc>
          <w:tcPr>
            <w:tcW w:w="1128" w:type="dxa"/>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青年项目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010000" w:firstRow="0" w:lastRow="0" w:firstColumn="0" w:lastColumn="0" w:oddVBand="0" w:evenVBand="0" w:oddHBand="0" w:evenHBand="1"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新闻学与传播学</w:t>
            </w:r>
          </w:p>
        </w:tc>
      </w:tr>
      <w:tr w:rsidR="00B14393" w:rsidRPr="000C7573" w:rsidTr="0055044F">
        <w:trPr>
          <w:cnfStyle w:val="000000100000" w:firstRow="0" w:lastRow="0" w:firstColumn="0" w:lastColumn="0" w:oddVBand="0" w:evenVBand="0" w:oddHBand="1" w:evenHBand="0" w:firstRowFirstColumn="0" w:firstRowLastColumn="0" w:lastRowFirstColumn="0" w:lastRowLastColumn="0"/>
          <w:trHeight w:hRule="exact" w:val="1155"/>
          <w:jc w:val="center"/>
        </w:trPr>
        <w:tc>
          <w:tcPr>
            <w:cnfStyle w:val="001000000000" w:firstRow="0" w:lastRow="0" w:firstColumn="1" w:lastColumn="0" w:oddVBand="0" w:evenVBand="0" w:oddHBand="0" w:evenHBand="0" w:firstRowFirstColumn="0" w:firstRowLastColumn="0" w:lastRowFirstColumn="0" w:lastRowLastColumn="0"/>
            <w:tcW w:w="1364" w:type="dxa"/>
            <w:tcBorders>
              <w:left w:val="single" w:sz="4" w:space="0" w:color="FFFFFF" w:themeColor="background1"/>
            </w:tcBorders>
            <w:shd w:val="clear" w:color="auto" w:fill="FCE6D4"/>
            <w:vAlign w:val="center"/>
            <w:hideMark/>
          </w:tcPr>
          <w:p w:rsidR="00B14393" w:rsidRPr="000C7573" w:rsidRDefault="00B14393" w:rsidP="0055044F">
            <w:pPr>
              <w:widowControl/>
              <w:jc w:val="center"/>
              <w:rPr>
                <w:rFonts w:asciiTheme="minorEastAsia" w:eastAsiaTheme="minorEastAsia" w:hAnsiTheme="minorEastAsia"/>
              </w:rPr>
            </w:pPr>
            <w:r w:rsidRPr="000C7573">
              <w:rPr>
                <w:rFonts w:asciiTheme="minorEastAsia" w:eastAsiaTheme="minorEastAsia" w:hAnsiTheme="minorEastAsia"/>
              </w:rPr>
              <w:t>医学院</w:t>
            </w:r>
          </w:p>
        </w:tc>
        <w:tc>
          <w:tcPr>
            <w:tcW w:w="850"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26</w:t>
            </w:r>
          </w:p>
        </w:tc>
        <w:tc>
          <w:tcPr>
            <w:tcW w:w="2693"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基于工作系统模型的护士留职意愿与创新行为的影响机制及其干预策略实证研究</w:t>
            </w:r>
          </w:p>
        </w:tc>
        <w:tc>
          <w:tcPr>
            <w:tcW w:w="999"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roofErr w:type="gramStart"/>
            <w:r w:rsidRPr="000C7573">
              <w:rPr>
                <w:rFonts w:asciiTheme="minorEastAsia" w:eastAsiaTheme="minorEastAsia" w:hAnsiTheme="minorEastAsia"/>
              </w:rPr>
              <w:t>章雅青</w:t>
            </w:r>
            <w:proofErr w:type="gramEnd"/>
          </w:p>
        </w:tc>
        <w:tc>
          <w:tcPr>
            <w:tcW w:w="1128" w:type="dxa"/>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一般项目</w:t>
            </w:r>
          </w:p>
        </w:tc>
        <w:tc>
          <w:tcPr>
            <w:tcW w:w="886" w:type="dxa"/>
            <w:tcBorders>
              <w:right w:val="single" w:sz="4" w:space="0" w:color="FFFFFF" w:themeColor="background1"/>
            </w:tcBorders>
            <w:vAlign w:val="center"/>
            <w:hideMark/>
          </w:tcPr>
          <w:p w:rsidR="00B14393" w:rsidRPr="000C7573" w:rsidRDefault="00B14393" w:rsidP="0055044F">
            <w:pPr>
              <w:widowControl/>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0C7573">
              <w:rPr>
                <w:rFonts w:asciiTheme="minorEastAsia" w:eastAsiaTheme="minorEastAsia" w:hAnsiTheme="minorEastAsia"/>
              </w:rPr>
              <w:t>管理学</w:t>
            </w:r>
          </w:p>
        </w:tc>
      </w:tr>
    </w:tbl>
    <w:p w:rsidR="00821B59" w:rsidRDefault="00821B59">
      <w:bookmarkStart w:id="0" w:name="_GoBack"/>
      <w:bookmarkEnd w:id="0"/>
    </w:p>
    <w:sectPr w:rsidR="00821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93" w:rsidRDefault="00B14393" w:rsidP="00B14393">
      <w:r>
        <w:separator/>
      </w:r>
    </w:p>
  </w:endnote>
  <w:endnote w:type="continuationSeparator" w:id="0">
    <w:p w:rsidR="00B14393" w:rsidRDefault="00B14393" w:rsidP="00B1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93" w:rsidRDefault="00B14393" w:rsidP="00B14393">
      <w:r>
        <w:separator/>
      </w:r>
    </w:p>
  </w:footnote>
  <w:footnote w:type="continuationSeparator" w:id="0">
    <w:p w:rsidR="00B14393" w:rsidRDefault="00B14393" w:rsidP="00B1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AC"/>
    <w:rsid w:val="00821B59"/>
    <w:rsid w:val="00A700AC"/>
    <w:rsid w:val="00B1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3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4393"/>
    <w:rPr>
      <w:sz w:val="18"/>
      <w:szCs w:val="18"/>
    </w:rPr>
  </w:style>
  <w:style w:type="paragraph" w:styleId="a4">
    <w:name w:val="footer"/>
    <w:basedOn w:val="a"/>
    <w:link w:val="Char0"/>
    <w:uiPriority w:val="99"/>
    <w:unhideWhenUsed/>
    <w:rsid w:val="00B143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4393"/>
    <w:rPr>
      <w:sz w:val="18"/>
      <w:szCs w:val="18"/>
    </w:rPr>
  </w:style>
  <w:style w:type="table" w:styleId="-6">
    <w:name w:val="Light Grid Accent 6"/>
    <w:basedOn w:val="a1"/>
    <w:uiPriority w:val="62"/>
    <w:rsid w:val="00B14393"/>
    <w:rPr>
      <w:rFonts w:ascii="Times New Roman" w:eastAsia="宋体" w:hAnsi="Times New Roman" w:cs="Times New Roman"/>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3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4393"/>
    <w:rPr>
      <w:sz w:val="18"/>
      <w:szCs w:val="18"/>
    </w:rPr>
  </w:style>
  <w:style w:type="paragraph" w:styleId="a4">
    <w:name w:val="footer"/>
    <w:basedOn w:val="a"/>
    <w:link w:val="Char0"/>
    <w:uiPriority w:val="99"/>
    <w:unhideWhenUsed/>
    <w:rsid w:val="00B143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4393"/>
    <w:rPr>
      <w:sz w:val="18"/>
      <w:szCs w:val="18"/>
    </w:rPr>
  </w:style>
  <w:style w:type="table" w:styleId="-6">
    <w:name w:val="Light Grid Accent 6"/>
    <w:basedOn w:val="a1"/>
    <w:uiPriority w:val="62"/>
    <w:rsid w:val="00B14393"/>
    <w:rPr>
      <w:rFonts w:ascii="Times New Roman" w:eastAsia="宋体" w:hAnsi="Times New Roman" w:cs="Times New Roman"/>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wkjs</dc:creator>
  <cp:keywords/>
  <dc:description/>
  <cp:lastModifiedBy>wkjs</cp:lastModifiedBy>
  <cp:revision>2</cp:revision>
  <dcterms:created xsi:type="dcterms:W3CDTF">2016-06-17T08:10:00Z</dcterms:created>
  <dcterms:modified xsi:type="dcterms:W3CDTF">2016-06-17T08:11:00Z</dcterms:modified>
</cp:coreProperties>
</file>